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5"/>
        <w:gridCol w:w="8250"/>
        <w:gridCol w:w="375"/>
      </w:tblGrid>
      <w:tr w:rsidR="00643E52" w14:paraId="7831367F" w14:textId="77777777" w:rsidTr="00643E52">
        <w:trPr>
          <w:tblCellSpacing w:w="0" w:type="dxa"/>
          <w:jc w:val="center"/>
        </w:trPr>
        <w:tc>
          <w:tcPr>
            <w:tcW w:w="375" w:type="dxa"/>
            <w:shd w:val="clear" w:color="auto" w:fill="FFFFFF"/>
            <w:vAlign w:val="center"/>
            <w:hideMark/>
          </w:tcPr>
          <w:p w14:paraId="2A79D2C0"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bottom"/>
            <w:hideMark/>
          </w:tcPr>
          <w:p w14:paraId="1E96D031" w14:textId="7D16C6BA" w:rsidR="00643E52" w:rsidRDefault="00643E52">
            <w:pPr>
              <w:rPr>
                <w:rFonts w:ascii="Arial" w:hAnsi="Arial" w:cs="Arial"/>
                <w:color w:val="595959"/>
                <w:sz w:val="17"/>
                <w:szCs w:val="17"/>
              </w:rPr>
            </w:pPr>
            <w:r>
              <w:rPr>
                <w:noProof/>
              </w:rPr>
              <w:drawing>
                <wp:anchor distT="0" distB="0" distL="47625" distR="47625" simplePos="0" relativeHeight="251658240" behindDoc="0" locked="0" layoutInCell="1" allowOverlap="0" wp14:anchorId="3F8C66EA" wp14:editId="1CF11202">
                  <wp:simplePos x="0" y="0"/>
                  <wp:positionH relativeFrom="column">
                    <wp:align>left</wp:align>
                  </wp:positionH>
                  <wp:positionV relativeFrom="line">
                    <wp:posOffset>0</wp:posOffset>
                  </wp:positionV>
                  <wp:extent cx="5238750" cy="628650"/>
                  <wp:effectExtent l="0" t="0" r="0" b="0"/>
                  <wp:wrapSquare wrapText="bothSides"/>
                  <wp:docPr id="10" name="Image 10" descr="ceevo tetiere logos&#10;                        oc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eevo tetiere logos&#10;                        oct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23875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375" w:type="dxa"/>
            <w:shd w:val="clear" w:color="auto" w:fill="FFFFFF"/>
            <w:vAlign w:val="center"/>
            <w:hideMark/>
          </w:tcPr>
          <w:p w14:paraId="1ABDA35F"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67997D85" w14:textId="77777777" w:rsidTr="00643E52">
        <w:trPr>
          <w:tblCellSpacing w:w="0" w:type="dxa"/>
          <w:jc w:val="center"/>
        </w:trPr>
        <w:tc>
          <w:tcPr>
            <w:tcW w:w="375" w:type="dxa"/>
            <w:shd w:val="clear" w:color="auto" w:fill="FFFFFF"/>
            <w:vAlign w:val="center"/>
            <w:hideMark/>
          </w:tcPr>
          <w:p w14:paraId="13048ED1"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30E791F6" w14:textId="77777777" w:rsidR="00643E52" w:rsidRDefault="00643E52">
            <w:pPr>
              <w:spacing w:line="0" w:lineRule="atLeast"/>
              <w:rPr>
                <w:rFonts w:ascii="Arial" w:hAnsi="Arial" w:cs="Arial"/>
                <w:color w:val="595959"/>
                <w:sz w:val="17"/>
                <w:szCs w:val="17"/>
              </w:rPr>
            </w:pPr>
            <w:r>
              <w:rPr>
                <w:rFonts w:ascii="Arial" w:hAnsi="Arial" w:cs="Arial"/>
                <w:color w:val="595959"/>
                <w:sz w:val="17"/>
                <w:szCs w:val="17"/>
              </w:rPr>
              <w:t> </w:t>
            </w:r>
          </w:p>
        </w:tc>
        <w:tc>
          <w:tcPr>
            <w:tcW w:w="375" w:type="dxa"/>
            <w:shd w:val="clear" w:color="auto" w:fill="FFFFFF"/>
            <w:vAlign w:val="center"/>
            <w:hideMark/>
          </w:tcPr>
          <w:p w14:paraId="3ED76063"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5D0151D7" w14:textId="77777777" w:rsidTr="00643E52">
        <w:trPr>
          <w:tblCellSpacing w:w="0" w:type="dxa"/>
          <w:jc w:val="center"/>
        </w:trPr>
        <w:tc>
          <w:tcPr>
            <w:tcW w:w="375" w:type="dxa"/>
            <w:shd w:val="clear" w:color="auto" w:fill="FFFFFF"/>
            <w:vAlign w:val="center"/>
            <w:hideMark/>
          </w:tcPr>
          <w:p w14:paraId="06714311"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42269E4B" w14:textId="77777777" w:rsidR="00643E52" w:rsidRDefault="00643E52">
            <w:pPr>
              <w:pStyle w:val="Titre3"/>
              <w:spacing w:before="0" w:beforeAutospacing="0" w:after="0" w:afterAutospacing="0"/>
              <w:jc w:val="center"/>
              <w:rPr>
                <w:rFonts w:ascii="Arial" w:eastAsia="Times New Roman" w:hAnsi="Arial" w:cs="Arial"/>
                <w:color w:val="595959"/>
              </w:rPr>
            </w:pPr>
            <w:r>
              <w:rPr>
                <w:rFonts w:ascii="Arial" w:eastAsia="Times New Roman" w:hAnsi="Arial" w:cs="Arial"/>
                <w:color w:val="F2633C"/>
              </w:rPr>
              <w:t>COVID-19 :</w:t>
            </w:r>
            <w:r>
              <w:rPr>
                <w:rFonts w:ascii="Arial" w:eastAsia="Times New Roman" w:hAnsi="Arial" w:cs="Arial"/>
                <w:color w:val="F2633C"/>
              </w:rPr>
              <w:br/>
              <w:t>Fonds Résilience : avance remboursable de 3 000 € à</w:t>
            </w:r>
            <w:r>
              <w:rPr>
                <w:rFonts w:ascii="Arial" w:eastAsia="Times New Roman" w:hAnsi="Arial" w:cs="Arial"/>
                <w:color w:val="F2633C"/>
              </w:rPr>
              <w:br/>
              <w:t>100 000 € pour les entreprises du Val d'Oise</w:t>
            </w:r>
          </w:p>
        </w:tc>
        <w:tc>
          <w:tcPr>
            <w:tcW w:w="375" w:type="dxa"/>
            <w:shd w:val="clear" w:color="auto" w:fill="FFFFFF"/>
            <w:vAlign w:val="center"/>
            <w:hideMark/>
          </w:tcPr>
          <w:p w14:paraId="5E938926"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5F06FE4F" w14:textId="77777777" w:rsidTr="00643E52">
        <w:trPr>
          <w:tblCellSpacing w:w="0" w:type="dxa"/>
          <w:jc w:val="center"/>
        </w:trPr>
        <w:tc>
          <w:tcPr>
            <w:tcW w:w="375" w:type="dxa"/>
            <w:shd w:val="clear" w:color="auto" w:fill="FFFFFF"/>
            <w:vAlign w:val="center"/>
            <w:hideMark/>
          </w:tcPr>
          <w:p w14:paraId="16AD998C"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1CE84DAD" w14:textId="66E29A1E" w:rsidR="00643E52" w:rsidRDefault="00643E52">
            <w:pPr>
              <w:rPr>
                <w:rFonts w:ascii="Arial" w:hAnsi="Arial" w:cs="Arial"/>
                <w:color w:val="595959"/>
                <w:sz w:val="17"/>
                <w:szCs w:val="17"/>
              </w:rPr>
            </w:pPr>
            <w:r>
              <w:rPr>
                <w:rFonts w:ascii="Arial" w:hAnsi="Arial" w:cs="Arial"/>
                <w:noProof/>
                <w:color w:val="595959"/>
                <w:sz w:val="17"/>
                <w:szCs w:val="17"/>
              </w:rPr>
              <w:drawing>
                <wp:inline distT="0" distB="0" distL="0" distR="0" wp14:anchorId="232DDFAB" wp14:editId="5BB26BE8">
                  <wp:extent cx="5238750" cy="20955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09550"/>
                          </a:xfrm>
                          <a:prstGeom prst="rect">
                            <a:avLst/>
                          </a:prstGeom>
                          <a:noFill/>
                          <a:ln>
                            <a:noFill/>
                          </a:ln>
                        </pic:spPr>
                      </pic:pic>
                    </a:graphicData>
                  </a:graphic>
                </wp:inline>
              </w:drawing>
            </w:r>
          </w:p>
        </w:tc>
        <w:tc>
          <w:tcPr>
            <w:tcW w:w="375" w:type="dxa"/>
            <w:shd w:val="clear" w:color="auto" w:fill="FFFFFF"/>
            <w:vAlign w:val="center"/>
            <w:hideMark/>
          </w:tcPr>
          <w:p w14:paraId="16F8BA12"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02A2249D" w14:textId="77777777" w:rsidTr="00643E52">
        <w:trPr>
          <w:tblCellSpacing w:w="0" w:type="dxa"/>
          <w:jc w:val="center"/>
        </w:trPr>
        <w:tc>
          <w:tcPr>
            <w:tcW w:w="375" w:type="dxa"/>
            <w:shd w:val="clear" w:color="auto" w:fill="FFFFFF"/>
            <w:vAlign w:val="center"/>
            <w:hideMark/>
          </w:tcPr>
          <w:p w14:paraId="2A56F843"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657EFAD4"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Madame, Monsieur,</w:t>
            </w:r>
          </w:p>
          <w:p w14:paraId="536984B6"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121510F6"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 xml:space="preserve">Dans le contexte sanitaire actuel lié à l’épidémie de Coronavirus COVID-19, le </w:t>
            </w:r>
            <w:r>
              <w:rPr>
                <w:rStyle w:val="lev"/>
                <w:rFonts w:ascii="Arial" w:hAnsi="Arial" w:cs="Arial"/>
                <w:color w:val="595959"/>
                <w:sz w:val="17"/>
                <w:szCs w:val="17"/>
              </w:rPr>
              <w:t>CEEVO, l’Agence de Développement et d’Attractivité des territoires du Val d’Oise</w:t>
            </w:r>
            <w:r>
              <w:rPr>
                <w:rFonts w:ascii="Arial" w:hAnsi="Arial" w:cs="Arial"/>
                <w:color w:val="595959"/>
                <w:sz w:val="17"/>
                <w:szCs w:val="17"/>
              </w:rPr>
              <w:t xml:space="preserve">, souhaite attirer votre attention sur le </w:t>
            </w:r>
            <w:r>
              <w:rPr>
                <w:rStyle w:val="lev"/>
                <w:rFonts w:ascii="Arial" w:hAnsi="Arial" w:cs="Arial"/>
                <w:color w:val="595959"/>
                <w:sz w:val="17"/>
                <w:szCs w:val="17"/>
              </w:rPr>
              <w:t>Fonds Résilience</w:t>
            </w:r>
            <w:r>
              <w:rPr>
                <w:rFonts w:ascii="Arial" w:hAnsi="Arial" w:cs="Arial"/>
                <w:color w:val="595959"/>
                <w:sz w:val="17"/>
                <w:szCs w:val="17"/>
              </w:rPr>
              <w:t>, lancé officiellement ce 11 juin par la Présidente de la Région Ile-de-France, Valérie Pécresse.</w:t>
            </w:r>
          </w:p>
          <w:p w14:paraId="4D3874D9"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 </w:t>
            </w:r>
          </w:p>
          <w:p w14:paraId="09E78D9D"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 xml:space="preserve">La </w:t>
            </w:r>
            <w:r>
              <w:rPr>
                <w:rStyle w:val="lev"/>
                <w:rFonts w:ascii="Arial" w:hAnsi="Arial" w:cs="Arial"/>
                <w:color w:val="595959"/>
                <w:sz w:val="17"/>
                <w:szCs w:val="17"/>
              </w:rPr>
              <w:t>Région Ile-de-France</w:t>
            </w:r>
            <w:r>
              <w:rPr>
                <w:rFonts w:ascii="Arial" w:hAnsi="Arial" w:cs="Arial"/>
                <w:color w:val="595959"/>
                <w:sz w:val="17"/>
                <w:szCs w:val="17"/>
              </w:rPr>
              <w:t xml:space="preserve"> et la </w:t>
            </w:r>
            <w:r>
              <w:rPr>
                <w:rStyle w:val="lev"/>
                <w:rFonts w:ascii="Arial" w:hAnsi="Arial" w:cs="Arial"/>
                <w:color w:val="595959"/>
                <w:sz w:val="17"/>
                <w:szCs w:val="17"/>
              </w:rPr>
              <w:t>Banque des Territoires</w:t>
            </w:r>
            <w:r>
              <w:rPr>
                <w:rFonts w:ascii="Arial" w:hAnsi="Arial" w:cs="Arial"/>
                <w:color w:val="595959"/>
                <w:sz w:val="17"/>
                <w:szCs w:val="17"/>
              </w:rPr>
              <w:t xml:space="preserve"> ont en effet créé, en partenariat avec les </w:t>
            </w:r>
            <w:r>
              <w:rPr>
                <w:rStyle w:val="lev"/>
                <w:rFonts w:ascii="Arial" w:hAnsi="Arial" w:cs="Arial"/>
                <w:color w:val="595959"/>
                <w:sz w:val="17"/>
                <w:szCs w:val="17"/>
              </w:rPr>
              <w:t>Départements</w:t>
            </w:r>
            <w:r>
              <w:rPr>
                <w:rFonts w:ascii="Arial" w:hAnsi="Arial" w:cs="Arial"/>
                <w:color w:val="595959"/>
                <w:sz w:val="17"/>
                <w:szCs w:val="17"/>
              </w:rPr>
              <w:t xml:space="preserve">, dont celui du </w:t>
            </w:r>
            <w:r>
              <w:rPr>
                <w:rStyle w:val="lev"/>
                <w:rFonts w:ascii="Arial" w:hAnsi="Arial" w:cs="Arial"/>
                <w:color w:val="595959"/>
                <w:sz w:val="17"/>
                <w:szCs w:val="17"/>
              </w:rPr>
              <w:t>Val d’Oise</w:t>
            </w:r>
            <w:r>
              <w:rPr>
                <w:rFonts w:ascii="Arial" w:hAnsi="Arial" w:cs="Arial"/>
                <w:color w:val="595959"/>
                <w:sz w:val="17"/>
                <w:szCs w:val="17"/>
              </w:rPr>
              <w:t xml:space="preserve">, ainsi que les </w:t>
            </w:r>
            <w:r>
              <w:rPr>
                <w:rStyle w:val="lev"/>
                <w:rFonts w:ascii="Arial" w:hAnsi="Arial" w:cs="Arial"/>
                <w:color w:val="595959"/>
                <w:sz w:val="17"/>
                <w:szCs w:val="17"/>
              </w:rPr>
              <w:t>intercommunalités franciliennes</w:t>
            </w:r>
            <w:r>
              <w:rPr>
                <w:rFonts w:ascii="Arial" w:hAnsi="Arial" w:cs="Arial"/>
                <w:color w:val="595959"/>
                <w:sz w:val="17"/>
                <w:szCs w:val="17"/>
              </w:rPr>
              <w:t xml:space="preserve">, le </w:t>
            </w:r>
            <w:r>
              <w:rPr>
                <w:rStyle w:val="lev"/>
                <w:rFonts w:ascii="Arial" w:hAnsi="Arial" w:cs="Arial"/>
                <w:color w:val="595959"/>
                <w:sz w:val="17"/>
                <w:szCs w:val="17"/>
              </w:rPr>
              <w:t>Fonds Résilience Ile-de-France</w:t>
            </w:r>
            <w:r>
              <w:rPr>
                <w:rFonts w:ascii="Arial" w:hAnsi="Arial" w:cs="Arial"/>
                <w:color w:val="595959"/>
                <w:sz w:val="17"/>
                <w:szCs w:val="17"/>
              </w:rPr>
              <w:t xml:space="preserve"> </w:t>
            </w:r>
            <w:r>
              <w:rPr>
                <w:rStyle w:val="lev"/>
                <w:rFonts w:ascii="Arial" w:hAnsi="Arial" w:cs="Arial"/>
                <w:color w:val="595959"/>
                <w:sz w:val="17"/>
                <w:szCs w:val="17"/>
              </w:rPr>
              <w:t>et collectivités territoriales, doté de 100 millions d’euros</w:t>
            </w:r>
            <w:r>
              <w:rPr>
                <w:rFonts w:ascii="Arial" w:hAnsi="Arial" w:cs="Arial"/>
                <w:color w:val="595959"/>
                <w:sz w:val="17"/>
                <w:szCs w:val="17"/>
              </w:rPr>
              <w:t>.</w:t>
            </w:r>
          </w:p>
          <w:p w14:paraId="13307F47"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468F85F5"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 xml:space="preserve">Destiné à soutenir les </w:t>
            </w:r>
            <w:r>
              <w:rPr>
                <w:rStyle w:val="lev"/>
                <w:rFonts w:ascii="Arial" w:hAnsi="Arial" w:cs="Arial"/>
                <w:color w:val="595959"/>
                <w:sz w:val="17"/>
                <w:szCs w:val="17"/>
              </w:rPr>
              <w:t>TPE/PME</w:t>
            </w:r>
            <w:r>
              <w:rPr>
                <w:rFonts w:ascii="Arial" w:hAnsi="Arial" w:cs="Arial"/>
                <w:color w:val="595959"/>
                <w:sz w:val="17"/>
                <w:szCs w:val="17"/>
              </w:rPr>
              <w:t xml:space="preserve"> jusqu’à </w:t>
            </w:r>
            <w:r>
              <w:rPr>
                <w:rStyle w:val="lev"/>
                <w:rFonts w:ascii="Arial" w:hAnsi="Arial" w:cs="Arial"/>
                <w:color w:val="595959"/>
                <w:sz w:val="17"/>
                <w:szCs w:val="17"/>
              </w:rPr>
              <w:t>20 salariés</w:t>
            </w:r>
            <w:r>
              <w:rPr>
                <w:rFonts w:ascii="Arial" w:hAnsi="Arial" w:cs="Arial"/>
                <w:color w:val="595959"/>
                <w:sz w:val="17"/>
                <w:szCs w:val="17"/>
              </w:rPr>
              <w:t xml:space="preserve">, les </w:t>
            </w:r>
            <w:r>
              <w:rPr>
                <w:rStyle w:val="lev"/>
                <w:rFonts w:ascii="Arial" w:hAnsi="Arial" w:cs="Arial"/>
                <w:color w:val="595959"/>
                <w:sz w:val="17"/>
                <w:szCs w:val="17"/>
              </w:rPr>
              <w:t>micro-entreprises</w:t>
            </w:r>
            <w:r>
              <w:rPr>
                <w:rFonts w:ascii="Arial" w:hAnsi="Arial" w:cs="Arial"/>
                <w:color w:val="595959"/>
                <w:sz w:val="17"/>
                <w:szCs w:val="17"/>
              </w:rPr>
              <w:t xml:space="preserve">, les </w:t>
            </w:r>
            <w:r>
              <w:rPr>
                <w:rStyle w:val="lev"/>
                <w:rFonts w:ascii="Arial" w:hAnsi="Arial" w:cs="Arial"/>
                <w:color w:val="595959"/>
                <w:sz w:val="17"/>
                <w:szCs w:val="17"/>
              </w:rPr>
              <w:t>associations</w:t>
            </w:r>
            <w:r>
              <w:rPr>
                <w:rFonts w:ascii="Arial" w:hAnsi="Arial" w:cs="Arial"/>
                <w:color w:val="595959"/>
                <w:sz w:val="17"/>
                <w:szCs w:val="17"/>
              </w:rPr>
              <w:t xml:space="preserve"> et </w:t>
            </w:r>
            <w:r>
              <w:rPr>
                <w:rStyle w:val="lev"/>
                <w:rFonts w:ascii="Arial" w:hAnsi="Arial" w:cs="Arial"/>
                <w:color w:val="595959"/>
                <w:sz w:val="17"/>
                <w:szCs w:val="17"/>
              </w:rPr>
              <w:t>acteurs de l’Economie Sociale et Solidaire (ESS)</w:t>
            </w:r>
            <w:r>
              <w:rPr>
                <w:rFonts w:ascii="Arial" w:hAnsi="Arial" w:cs="Arial"/>
                <w:color w:val="595959"/>
                <w:sz w:val="17"/>
                <w:szCs w:val="17"/>
              </w:rPr>
              <w:t xml:space="preserve">, les </w:t>
            </w:r>
            <w:r>
              <w:rPr>
                <w:rStyle w:val="lev"/>
                <w:rFonts w:ascii="Arial" w:hAnsi="Arial" w:cs="Arial"/>
                <w:color w:val="595959"/>
                <w:sz w:val="17"/>
                <w:szCs w:val="17"/>
              </w:rPr>
              <w:t>professions libérales</w:t>
            </w:r>
            <w:r>
              <w:rPr>
                <w:rFonts w:ascii="Arial" w:hAnsi="Arial" w:cs="Arial"/>
                <w:color w:val="595959"/>
                <w:sz w:val="17"/>
                <w:szCs w:val="17"/>
              </w:rPr>
              <w:t xml:space="preserve"> et les </w:t>
            </w:r>
            <w:r>
              <w:rPr>
                <w:rStyle w:val="lev"/>
                <w:rFonts w:ascii="Arial" w:hAnsi="Arial" w:cs="Arial"/>
                <w:color w:val="595959"/>
                <w:sz w:val="17"/>
                <w:szCs w:val="17"/>
              </w:rPr>
              <w:t>travailleurs indépendants</w:t>
            </w:r>
            <w:r>
              <w:rPr>
                <w:rFonts w:ascii="Arial" w:hAnsi="Arial" w:cs="Arial"/>
                <w:color w:val="595959"/>
                <w:sz w:val="17"/>
                <w:szCs w:val="17"/>
              </w:rPr>
              <w:t xml:space="preserve">, ce fonds propose des </w:t>
            </w:r>
            <w:r>
              <w:rPr>
                <w:rStyle w:val="lev"/>
                <w:rFonts w:ascii="Arial" w:hAnsi="Arial" w:cs="Arial"/>
                <w:color w:val="595959"/>
                <w:sz w:val="17"/>
                <w:szCs w:val="17"/>
              </w:rPr>
              <w:t>solutions de financement</w:t>
            </w:r>
            <w:r>
              <w:rPr>
                <w:rFonts w:ascii="Arial" w:hAnsi="Arial" w:cs="Arial"/>
                <w:color w:val="595959"/>
                <w:sz w:val="17"/>
                <w:szCs w:val="17"/>
              </w:rPr>
              <w:t xml:space="preserve">, sous la forme d’avances remboursables, aux acteurs économiques franciliens impactés par la crise sanitaire qui </w:t>
            </w:r>
            <w:r>
              <w:rPr>
                <w:rStyle w:val="lev"/>
                <w:rFonts w:ascii="Arial" w:hAnsi="Arial" w:cs="Arial"/>
                <w:color w:val="595959"/>
                <w:sz w:val="17"/>
                <w:szCs w:val="17"/>
              </w:rPr>
              <w:t>n’ont pas ou plus accès au financement bancaire</w:t>
            </w:r>
            <w:r>
              <w:rPr>
                <w:rFonts w:ascii="Arial" w:hAnsi="Arial" w:cs="Arial"/>
                <w:color w:val="595959"/>
                <w:sz w:val="17"/>
                <w:szCs w:val="17"/>
              </w:rPr>
              <w:t>.</w:t>
            </w:r>
          </w:p>
          <w:p w14:paraId="0B12E691"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6F2404FE"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Il s’agit de permettre à ces entreprises de</w:t>
            </w:r>
            <w:r>
              <w:rPr>
                <w:rStyle w:val="lev"/>
                <w:rFonts w:ascii="Arial" w:hAnsi="Arial" w:cs="Arial"/>
                <w:color w:val="595959"/>
                <w:sz w:val="17"/>
                <w:szCs w:val="17"/>
              </w:rPr>
              <w:t xml:space="preserve"> financer le coût des adaptations indispensables à leur reprise de l’activité</w:t>
            </w:r>
            <w:r>
              <w:rPr>
                <w:rFonts w:ascii="Arial" w:hAnsi="Arial" w:cs="Arial"/>
                <w:color w:val="595959"/>
                <w:sz w:val="17"/>
                <w:szCs w:val="17"/>
              </w:rPr>
              <w:t xml:space="preserve"> (investissements matériels et immatériels pour répondre à la nouvelle donne sanitaire, réapprovisionnement...).</w:t>
            </w:r>
          </w:p>
          <w:p w14:paraId="53E06694"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62CC2197"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Ce Fonds prend la forme d’</w:t>
            </w:r>
            <w:r>
              <w:rPr>
                <w:rStyle w:val="lev"/>
                <w:rFonts w:ascii="Arial" w:hAnsi="Arial" w:cs="Arial"/>
                <w:color w:val="595959"/>
                <w:sz w:val="17"/>
                <w:szCs w:val="17"/>
              </w:rPr>
              <w:t>avances remboursables à taux zéro, sur 6 ans</w:t>
            </w:r>
            <w:r>
              <w:rPr>
                <w:rFonts w:ascii="Arial" w:hAnsi="Arial" w:cs="Arial"/>
                <w:color w:val="595959"/>
                <w:sz w:val="17"/>
                <w:szCs w:val="17"/>
              </w:rPr>
              <w:t xml:space="preserve"> maximum. Assorties d’un </w:t>
            </w:r>
            <w:r>
              <w:rPr>
                <w:rStyle w:val="lev"/>
                <w:rFonts w:ascii="Arial" w:hAnsi="Arial" w:cs="Arial"/>
                <w:color w:val="595959"/>
                <w:sz w:val="17"/>
                <w:szCs w:val="17"/>
              </w:rPr>
              <w:t>différé de remboursement de 2 ans</w:t>
            </w:r>
            <w:r>
              <w:rPr>
                <w:rFonts w:ascii="Arial" w:hAnsi="Arial" w:cs="Arial"/>
                <w:color w:val="595959"/>
                <w:sz w:val="17"/>
                <w:szCs w:val="17"/>
              </w:rPr>
              <w:t xml:space="preserve">, et considérées comme des </w:t>
            </w:r>
            <w:r>
              <w:rPr>
                <w:rStyle w:val="lev"/>
                <w:rFonts w:ascii="Arial" w:hAnsi="Arial" w:cs="Arial"/>
                <w:color w:val="595959"/>
                <w:sz w:val="17"/>
                <w:szCs w:val="17"/>
              </w:rPr>
              <w:t>quasi-fonds propres</w:t>
            </w:r>
            <w:r>
              <w:rPr>
                <w:rFonts w:ascii="Arial" w:hAnsi="Arial" w:cs="Arial"/>
                <w:color w:val="595959"/>
                <w:sz w:val="17"/>
                <w:szCs w:val="17"/>
              </w:rPr>
              <w:t xml:space="preserve">, leur </w:t>
            </w:r>
            <w:r>
              <w:rPr>
                <w:rStyle w:val="lev"/>
                <w:rFonts w:ascii="Arial" w:hAnsi="Arial" w:cs="Arial"/>
                <w:color w:val="595959"/>
                <w:sz w:val="17"/>
                <w:szCs w:val="17"/>
              </w:rPr>
              <w:t>montant varie de 3.000 à 100.000 euros</w:t>
            </w:r>
            <w:r>
              <w:rPr>
                <w:rFonts w:ascii="Arial" w:hAnsi="Arial" w:cs="Arial"/>
                <w:color w:val="595959"/>
                <w:sz w:val="17"/>
                <w:szCs w:val="17"/>
              </w:rPr>
              <w:t xml:space="preserve"> selon l’effectif de l’entreprise ou sa taille.</w:t>
            </w:r>
          </w:p>
          <w:p w14:paraId="4C31984A"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577DE012" w14:textId="3295ACEB"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xml:space="preserve">Les </w:t>
            </w:r>
            <w:r>
              <w:rPr>
                <w:rStyle w:val="lev"/>
                <w:rFonts w:ascii="Arial" w:hAnsi="Arial" w:cs="Arial"/>
                <w:color w:val="595959"/>
                <w:sz w:val="17"/>
                <w:szCs w:val="17"/>
              </w:rPr>
              <w:t>montants</w:t>
            </w:r>
            <w:r>
              <w:rPr>
                <w:rFonts w:ascii="Arial" w:hAnsi="Arial" w:cs="Arial"/>
                <w:color w:val="595959"/>
                <w:sz w:val="17"/>
                <w:szCs w:val="17"/>
              </w:rPr>
              <w:t xml:space="preserve"> des </w:t>
            </w:r>
            <w:r>
              <w:rPr>
                <w:rStyle w:val="lev"/>
                <w:rFonts w:ascii="Arial" w:hAnsi="Arial" w:cs="Arial"/>
                <w:color w:val="595959"/>
                <w:sz w:val="17"/>
                <w:szCs w:val="17"/>
              </w:rPr>
              <w:t>avances remboursables</w:t>
            </w:r>
            <w:r>
              <w:rPr>
                <w:rFonts w:ascii="Arial" w:hAnsi="Arial" w:cs="Arial"/>
                <w:color w:val="595959"/>
                <w:sz w:val="17"/>
                <w:szCs w:val="17"/>
              </w:rPr>
              <w:t xml:space="preserve"> ainsi proposées sont les suivants :</w:t>
            </w:r>
          </w:p>
          <w:p w14:paraId="1309EA48" w14:textId="77777777" w:rsidR="00643E52" w:rsidRDefault="00643E52" w:rsidP="00F96F45">
            <w:pPr>
              <w:numPr>
                <w:ilvl w:val="0"/>
                <w:numId w:val="1"/>
              </w:numPr>
              <w:spacing w:before="100" w:beforeAutospacing="1" w:after="100" w:afterAutospacing="1"/>
              <w:rPr>
                <w:rFonts w:ascii="Arial" w:eastAsia="Times New Roman" w:hAnsi="Arial" w:cs="Arial"/>
                <w:color w:val="595959"/>
                <w:sz w:val="17"/>
                <w:szCs w:val="17"/>
              </w:rPr>
            </w:pPr>
            <w:proofErr w:type="gramStart"/>
            <w:r>
              <w:rPr>
                <w:rFonts w:ascii="Arial" w:eastAsia="Times New Roman" w:hAnsi="Arial" w:cs="Arial"/>
                <w:color w:val="595959"/>
                <w:sz w:val="17"/>
                <w:szCs w:val="17"/>
              </w:rPr>
              <w:t>de</w:t>
            </w:r>
            <w:proofErr w:type="gramEnd"/>
            <w:r>
              <w:rPr>
                <w:rFonts w:ascii="Arial" w:eastAsia="Times New Roman" w:hAnsi="Arial" w:cs="Arial"/>
                <w:color w:val="595959"/>
                <w:sz w:val="17"/>
                <w:szCs w:val="17"/>
              </w:rPr>
              <w:t xml:space="preserve"> </w:t>
            </w:r>
            <w:r>
              <w:rPr>
                <w:rStyle w:val="lev"/>
                <w:rFonts w:ascii="Arial" w:eastAsia="Times New Roman" w:hAnsi="Arial" w:cs="Arial"/>
                <w:color w:val="595959"/>
                <w:sz w:val="17"/>
                <w:szCs w:val="17"/>
              </w:rPr>
              <w:t>3.000 euros à 10.000 euros</w:t>
            </w:r>
            <w:r>
              <w:rPr>
                <w:rFonts w:ascii="Arial" w:eastAsia="Times New Roman" w:hAnsi="Arial" w:cs="Arial"/>
                <w:color w:val="595959"/>
                <w:sz w:val="17"/>
                <w:szCs w:val="17"/>
              </w:rPr>
              <w:t xml:space="preserve"> pour les entreprises n’employant </w:t>
            </w:r>
            <w:r>
              <w:rPr>
                <w:rStyle w:val="lev"/>
                <w:rFonts w:ascii="Arial" w:eastAsia="Times New Roman" w:hAnsi="Arial" w:cs="Arial"/>
                <w:color w:val="595959"/>
                <w:sz w:val="17"/>
                <w:szCs w:val="17"/>
              </w:rPr>
              <w:t>aucun salarié</w:t>
            </w:r>
            <w:r>
              <w:rPr>
                <w:rFonts w:ascii="Arial" w:eastAsia="Times New Roman" w:hAnsi="Arial" w:cs="Arial"/>
                <w:color w:val="595959"/>
                <w:sz w:val="17"/>
                <w:szCs w:val="17"/>
              </w:rPr>
              <w:t xml:space="preserve"> </w:t>
            </w:r>
          </w:p>
          <w:p w14:paraId="7E6D9A87" w14:textId="77777777" w:rsidR="00643E52" w:rsidRDefault="00643E52" w:rsidP="00F96F45">
            <w:pPr>
              <w:numPr>
                <w:ilvl w:val="0"/>
                <w:numId w:val="1"/>
              </w:numPr>
              <w:spacing w:before="100" w:beforeAutospacing="1" w:after="100" w:afterAutospacing="1"/>
              <w:rPr>
                <w:rFonts w:ascii="Arial" w:eastAsia="Times New Roman" w:hAnsi="Arial" w:cs="Arial"/>
                <w:color w:val="595959"/>
                <w:sz w:val="17"/>
                <w:szCs w:val="17"/>
              </w:rPr>
            </w:pPr>
            <w:proofErr w:type="gramStart"/>
            <w:r>
              <w:rPr>
                <w:rStyle w:val="lev"/>
                <w:rFonts w:ascii="Arial" w:eastAsia="Times New Roman" w:hAnsi="Arial" w:cs="Arial"/>
                <w:color w:val="595959"/>
                <w:sz w:val="17"/>
                <w:szCs w:val="17"/>
              </w:rPr>
              <w:t>jusqu’à</w:t>
            </w:r>
            <w:proofErr w:type="gramEnd"/>
            <w:r>
              <w:rPr>
                <w:rStyle w:val="lev"/>
                <w:rFonts w:ascii="Arial" w:eastAsia="Times New Roman" w:hAnsi="Arial" w:cs="Arial"/>
                <w:color w:val="595959"/>
                <w:sz w:val="17"/>
                <w:szCs w:val="17"/>
              </w:rPr>
              <w:t xml:space="preserve"> 50.000 euros</w:t>
            </w:r>
            <w:r>
              <w:rPr>
                <w:rFonts w:ascii="Arial" w:eastAsia="Times New Roman" w:hAnsi="Arial" w:cs="Arial"/>
                <w:color w:val="595959"/>
                <w:sz w:val="17"/>
                <w:szCs w:val="17"/>
              </w:rPr>
              <w:t xml:space="preserve"> pour les entreprises employant </w:t>
            </w:r>
            <w:r>
              <w:rPr>
                <w:rStyle w:val="lev"/>
                <w:rFonts w:ascii="Arial" w:eastAsia="Times New Roman" w:hAnsi="Arial" w:cs="Arial"/>
                <w:color w:val="595959"/>
                <w:sz w:val="17"/>
                <w:szCs w:val="17"/>
              </w:rPr>
              <w:t>moins de 10 salariés</w:t>
            </w:r>
            <w:r>
              <w:rPr>
                <w:rFonts w:ascii="Arial" w:eastAsia="Times New Roman" w:hAnsi="Arial" w:cs="Arial"/>
                <w:color w:val="595959"/>
                <w:sz w:val="17"/>
                <w:szCs w:val="17"/>
              </w:rPr>
              <w:t xml:space="preserve"> </w:t>
            </w:r>
          </w:p>
          <w:p w14:paraId="4DCE2D18" w14:textId="77777777" w:rsidR="00643E52" w:rsidRDefault="00643E52" w:rsidP="00F96F45">
            <w:pPr>
              <w:numPr>
                <w:ilvl w:val="0"/>
                <w:numId w:val="1"/>
              </w:numPr>
              <w:spacing w:before="100" w:beforeAutospacing="1" w:after="100" w:afterAutospacing="1"/>
              <w:jc w:val="both"/>
              <w:rPr>
                <w:rFonts w:ascii="Arial" w:eastAsia="Times New Roman" w:hAnsi="Arial" w:cs="Arial"/>
                <w:color w:val="595959"/>
                <w:sz w:val="17"/>
                <w:szCs w:val="17"/>
              </w:rPr>
            </w:pPr>
            <w:proofErr w:type="gramStart"/>
            <w:r>
              <w:rPr>
                <w:rStyle w:val="lev"/>
                <w:rFonts w:ascii="Arial" w:eastAsia="Times New Roman" w:hAnsi="Arial" w:cs="Arial"/>
                <w:color w:val="595959"/>
                <w:sz w:val="17"/>
                <w:szCs w:val="17"/>
              </w:rPr>
              <w:t>jusqu’à</w:t>
            </w:r>
            <w:proofErr w:type="gramEnd"/>
            <w:r>
              <w:rPr>
                <w:rStyle w:val="lev"/>
                <w:rFonts w:ascii="Arial" w:eastAsia="Times New Roman" w:hAnsi="Arial" w:cs="Arial"/>
                <w:color w:val="595959"/>
                <w:sz w:val="17"/>
                <w:szCs w:val="17"/>
              </w:rPr>
              <w:t xml:space="preserve"> 100.000 euros</w:t>
            </w:r>
            <w:r>
              <w:rPr>
                <w:rFonts w:ascii="Arial" w:eastAsia="Times New Roman" w:hAnsi="Arial" w:cs="Arial"/>
                <w:color w:val="595959"/>
                <w:sz w:val="17"/>
                <w:szCs w:val="17"/>
              </w:rPr>
              <w:t xml:space="preserve"> pour les entreprises employant </w:t>
            </w:r>
            <w:r>
              <w:rPr>
                <w:rStyle w:val="lev"/>
                <w:rFonts w:ascii="Arial" w:eastAsia="Times New Roman" w:hAnsi="Arial" w:cs="Arial"/>
                <w:color w:val="595959"/>
                <w:sz w:val="17"/>
                <w:szCs w:val="17"/>
              </w:rPr>
              <w:t>entre 10 et 20 salariés</w:t>
            </w:r>
            <w:r>
              <w:rPr>
                <w:rFonts w:ascii="Arial" w:eastAsia="Times New Roman" w:hAnsi="Arial" w:cs="Arial"/>
                <w:color w:val="595959"/>
                <w:sz w:val="17"/>
                <w:szCs w:val="17"/>
              </w:rPr>
              <w:t xml:space="preserve"> et pour les </w:t>
            </w:r>
            <w:r>
              <w:rPr>
                <w:rStyle w:val="lev"/>
                <w:rFonts w:ascii="Arial" w:eastAsia="Times New Roman" w:hAnsi="Arial" w:cs="Arial"/>
                <w:color w:val="595959"/>
                <w:sz w:val="17"/>
                <w:szCs w:val="17"/>
              </w:rPr>
              <w:t>structures de l’ESS</w:t>
            </w:r>
            <w:r>
              <w:rPr>
                <w:rFonts w:ascii="Arial" w:eastAsia="Times New Roman" w:hAnsi="Arial" w:cs="Arial"/>
                <w:color w:val="595959"/>
                <w:sz w:val="17"/>
                <w:szCs w:val="17"/>
              </w:rPr>
              <w:t xml:space="preserve"> </w:t>
            </w:r>
          </w:p>
          <w:p w14:paraId="79A4DBE4"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br/>
              <w:t>L’</w:t>
            </w:r>
            <w:r>
              <w:rPr>
                <w:rStyle w:val="lev"/>
                <w:rFonts w:ascii="Arial" w:hAnsi="Arial" w:cs="Arial"/>
                <w:color w:val="595959"/>
                <w:sz w:val="17"/>
                <w:szCs w:val="17"/>
              </w:rPr>
              <w:t>instruction des dossiers</w:t>
            </w:r>
            <w:r>
              <w:rPr>
                <w:rFonts w:ascii="Arial" w:hAnsi="Arial" w:cs="Arial"/>
                <w:color w:val="595959"/>
                <w:sz w:val="17"/>
                <w:szCs w:val="17"/>
              </w:rPr>
              <w:t xml:space="preserve">, déposés en ligne, sera réalisée par les antennes des réseaux spécialisés dans l’accompagnement à la création et reprise d’entreprise, partenaires de la Région : l’ADIE, France Active, France Initiative et Réseau Entreprendre. La coordination du fonds sera effectuée par </w:t>
            </w:r>
            <w:proofErr w:type="spellStart"/>
            <w:r>
              <w:rPr>
                <w:rFonts w:ascii="Arial" w:hAnsi="Arial" w:cs="Arial"/>
                <w:color w:val="595959"/>
                <w:sz w:val="17"/>
                <w:szCs w:val="17"/>
              </w:rPr>
              <w:t>InitiActive</w:t>
            </w:r>
            <w:proofErr w:type="spellEnd"/>
            <w:r>
              <w:rPr>
                <w:rFonts w:ascii="Arial" w:hAnsi="Arial" w:cs="Arial"/>
                <w:color w:val="595959"/>
                <w:sz w:val="17"/>
                <w:szCs w:val="17"/>
              </w:rPr>
              <w:t xml:space="preserve"> Ile-de-France.</w:t>
            </w:r>
          </w:p>
          <w:p w14:paraId="4494A26E"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15281F52"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 xml:space="preserve">Il est possible de </w:t>
            </w:r>
            <w:r>
              <w:rPr>
                <w:rStyle w:val="lev"/>
                <w:rFonts w:ascii="Arial" w:hAnsi="Arial" w:cs="Arial"/>
                <w:color w:val="595959"/>
                <w:sz w:val="17"/>
                <w:szCs w:val="17"/>
              </w:rPr>
              <w:t>déposer dès à présent un dossier de demande, sur la plateforme d’inscription</w:t>
            </w:r>
            <w:r>
              <w:rPr>
                <w:rFonts w:ascii="Arial" w:hAnsi="Arial" w:cs="Arial"/>
                <w:color w:val="595959"/>
                <w:sz w:val="17"/>
                <w:szCs w:val="17"/>
              </w:rPr>
              <w:t xml:space="preserve">, via le lien suivant : </w:t>
            </w:r>
            <w:hyperlink r:id="rId7" w:tgtFrame="_blank" w:history="1">
              <w:r>
                <w:rPr>
                  <w:rStyle w:val="Lienhypertexte"/>
                  <w:rFonts w:ascii="Arial" w:hAnsi="Arial" w:cs="Arial"/>
                  <w:b/>
                  <w:bCs/>
                  <w:color w:val="006AB5"/>
                  <w:sz w:val="17"/>
                  <w:szCs w:val="17"/>
                  <w:bdr w:val="none" w:sz="0" w:space="0" w:color="auto" w:frame="1"/>
                </w:rPr>
                <w:t>www.iledefrance.fr/espace-media/fondsresilience</w:t>
              </w:r>
            </w:hyperlink>
            <w:r>
              <w:rPr>
                <w:rFonts w:ascii="Arial" w:hAnsi="Arial" w:cs="Arial"/>
                <w:color w:val="595959"/>
                <w:sz w:val="17"/>
                <w:szCs w:val="17"/>
              </w:rPr>
              <w:t>.</w:t>
            </w:r>
          </w:p>
          <w:p w14:paraId="3F463999"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041C6DE4" w14:textId="77777777" w:rsidR="00643E52" w:rsidRDefault="00643E52">
            <w:pPr>
              <w:pStyle w:val="NormalWeb"/>
              <w:spacing w:before="0" w:beforeAutospacing="0" w:after="0" w:afterAutospacing="0"/>
              <w:jc w:val="both"/>
              <w:rPr>
                <w:rFonts w:ascii="Arial" w:hAnsi="Arial" w:cs="Arial"/>
                <w:color w:val="595959"/>
                <w:sz w:val="17"/>
                <w:szCs w:val="17"/>
              </w:rPr>
            </w:pPr>
            <w:r>
              <w:rPr>
                <w:rFonts w:ascii="Arial" w:hAnsi="Arial" w:cs="Arial"/>
                <w:color w:val="595959"/>
                <w:sz w:val="17"/>
                <w:szCs w:val="17"/>
              </w:rPr>
              <w:t xml:space="preserve">Pour obtenir des informations complémentaires, le </w:t>
            </w:r>
            <w:r>
              <w:rPr>
                <w:rStyle w:val="lev"/>
                <w:rFonts w:ascii="Arial" w:hAnsi="Arial" w:cs="Arial"/>
                <w:color w:val="595959"/>
                <w:sz w:val="17"/>
                <w:szCs w:val="17"/>
              </w:rPr>
              <w:t>CEEVO, l’Agence de Développement et d’Attractivité des territoires du Val d’Oise</w:t>
            </w:r>
            <w:r>
              <w:rPr>
                <w:rFonts w:ascii="Arial" w:hAnsi="Arial" w:cs="Arial"/>
                <w:color w:val="595959"/>
                <w:sz w:val="17"/>
                <w:szCs w:val="17"/>
              </w:rPr>
              <w:t xml:space="preserve"> reste disponible au 01 34 25 32 42 ou par courrier électronique sur : </w:t>
            </w:r>
            <w:hyperlink r:id="rId8" w:tgtFrame="_blank" w:history="1">
              <w:r>
                <w:rPr>
                  <w:rStyle w:val="Lienhypertexte"/>
                  <w:rFonts w:ascii="Arial" w:hAnsi="Arial" w:cs="Arial"/>
                  <w:color w:val="006AB5"/>
                  <w:sz w:val="17"/>
                  <w:szCs w:val="17"/>
                  <w:bdr w:val="none" w:sz="0" w:space="0" w:color="auto" w:frame="1"/>
                </w:rPr>
                <w:t>ceevo@ceevo95.fr</w:t>
              </w:r>
            </w:hyperlink>
            <w:r>
              <w:rPr>
                <w:rFonts w:ascii="Arial" w:hAnsi="Arial" w:cs="Arial"/>
                <w:color w:val="595959"/>
                <w:sz w:val="17"/>
                <w:szCs w:val="17"/>
              </w:rPr>
              <w:t>.</w:t>
            </w:r>
          </w:p>
          <w:p w14:paraId="51B065FF"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7745BAE1"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Bien cordialement,</w:t>
            </w:r>
          </w:p>
          <w:p w14:paraId="491F425F"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 </w:t>
            </w:r>
          </w:p>
          <w:p w14:paraId="4F42216F" w14:textId="77777777" w:rsidR="00643E52" w:rsidRDefault="00643E52">
            <w:pPr>
              <w:pStyle w:val="NormalWeb"/>
              <w:spacing w:before="0" w:beforeAutospacing="0" w:after="0" w:afterAutospacing="0"/>
              <w:rPr>
                <w:rFonts w:ascii="Arial" w:hAnsi="Arial" w:cs="Arial"/>
                <w:color w:val="595959"/>
                <w:sz w:val="17"/>
                <w:szCs w:val="17"/>
              </w:rPr>
            </w:pPr>
            <w:r>
              <w:rPr>
                <w:rFonts w:ascii="Arial" w:hAnsi="Arial" w:cs="Arial"/>
                <w:color w:val="595959"/>
                <w:sz w:val="17"/>
                <w:szCs w:val="17"/>
              </w:rPr>
              <w:t>Jean-François BENON</w:t>
            </w:r>
            <w:r>
              <w:rPr>
                <w:rFonts w:ascii="Arial" w:hAnsi="Arial" w:cs="Arial"/>
                <w:color w:val="595959"/>
                <w:sz w:val="17"/>
                <w:szCs w:val="17"/>
              </w:rPr>
              <w:br/>
              <w:t>Directeur Général</w:t>
            </w:r>
          </w:p>
        </w:tc>
        <w:tc>
          <w:tcPr>
            <w:tcW w:w="375" w:type="dxa"/>
            <w:shd w:val="clear" w:color="auto" w:fill="FFFFFF"/>
            <w:vAlign w:val="center"/>
            <w:hideMark/>
          </w:tcPr>
          <w:p w14:paraId="370980E2"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6F3F5C9F" w14:textId="77777777" w:rsidTr="00643E52">
        <w:trPr>
          <w:tblCellSpacing w:w="0" w:type="dxa"/>
          <w:jc w:val="center"/>
        </w:trPr>
        <w:tc>
          <w:tcPr>
            <w:tcW w:w="375" w:type="dxa"/>
            <w:shd w:val="clear" w:color="auto" w:fill="FFFFFF"/>
            <w:vAlign w:val="center"/>
            <w:hideMark/>
          </w:tcPr>
          <w:p w14:paraId="21634B97"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7957AE4E" w14:textId="7CD81FEA" w:rsidR="00643E52" w:rsidRDefault="00643E52">
            <w:pPr>
              <w:spacing w:line="0" w:lineRule="atLeast"/>
              <w:rPr>
                <w:rFonts w:ascii="Arial" w:hAnsi="Arial" w:cs="Arial"/>
                <w:color w:val="595959"/>
                <w:sz w:val="17"/>
                <w:szCs w:val="17"/>
              </w:rPr>
            </w:pPr>
            <w:r>
              <w:rPr>
                <w:rFonts w:ascii="Arial" w:hAnsi="Arial" w:cs="Arial"/>
                <w:noProof/>
                <w:color w:val="595959"/>
                <w:sz w:val="17"/>
                <w:szCs w:val="17"/>
              </w:rPr>
              <w:drawing>
                <wp:inline distT="0" distB="0" distL="0" distR="0" wp14:anchorId="31EA594C" wp14:editId="07CA7431">
                  <wp:extent cx="5238750" cy="20955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09550"/>
                          </a:xfrm>
                          <a:prstGeom prst="rect">
                            <a:avLst/>
                          </a:prstGeom>
                          <a:noFill/>
                          <a:ln>
                            <a:noFill/>
                          </a:ln>
                        </pic:spPr>
                      </pic:pic>
                    </a:graphicData>
                  </a:graphic>
                </wp:inline>
              </w:drawing>
            </w:r>
          </w:p>
        </w:tc>
        <w:tc>
          <w:tcPr>
            <w:tcW w:w="375" w:type="dxa"/>
            <w:shd w:val="clear" w:color="auto" w:fill="FFFFFF"/>
            <w:vAlign w:val="center"/>
            <w:hideMark/>
          </w:tcPr>
          <w:p w14:paraId="33C6DDFF"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62B2A6AB" w14:textId="77777777" w:rsidTr="00643E52">
        <w:trPr>
          <w:tblCellSpacing w:w="0" w:type="dxa"/>
          <w:jc w:val="center"/>
        </w:trPr>
        <w:tc>
          <w:tcPr>
            <w:tcW w:w="375" w:type="dxa"/>
            <w:shd w:val="clear" w:color="auto" w:fill="FFFFFF"/>
            <w:vAlign w:val="center"/>
            <w:hideMark/>
          </w:tcPr>
          <w:p w14:paraId="6CD1298F"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2F343F12" w14:textId="22E698C1" w:rsidR="00643E52" w:rsidRDefault="00643E52">
            <w:pPr>
              <w:jc w:val="center"/>
              <w:rPr>
                <w:rFonts w:ascii="Arial" w:hAnsi="Arial" w:cs="Arial"/>
                <w:color w:val="333333"/>
                <w:sz w:val="17"/>
                <w:szCs w:val="17"/>
              </w:rPr>
            </w:pPr>
            <w:r>
              <w:rPr>
                <w:rFonts w:ascii="Arial" w:hAnsi="Arial" w:cs="Arial"/>
                <w:noProof/>
                <w:color w:val="333333"/>
                <w:sz w:val="17"/>
                <w:szCs w:val="17"/>
                <w:bdr w:val="none" w:sz="0" w:space="0" w:color="auto" w:frame="1"/>
              </w:rPr>
              <w:drawing>
                <wp:inline distT="0" distB="0" distL="0" distR="0" wp14:anchorId="0670789A" wp14:editId="32132105">
                  <wp:extent cx="704850" cy="428625"/>
                  <wp:effectExtent l="0" t="0" r="0" b="9525"/>
                  <wp:docPr id="5" name="Image 5" descr="logo-valdois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aldo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r>
              <w:rPr>
                <w:rFonts w:ascii="Arial" w:hAnsi="Arial" w:cs="Arial"/>
                <w:noProof/>
                <w:color w:val="333333"/>
                <w:sz w:val="17"/>
                <w:szCs w:val="17"/>
                <w:bdr w:val="none" w:sz="0" w:space="0" w:color="auto" w:frame="1"/>
              </w:rPr>
              <w:drawing>
                <wp:inline distT="0" distB="0" distL="0" distR="0" wp14:anchorId="23CF6412" wp14:editId="618F6A76">
                  <wp:extent cx="1552575" cy="428625"/>
                  <wp:effectExtent l="0" t="0" r="9525" b="9525"/>
                  <wp:docPr id="4" name="Image 4" descr="Région Ile de&#10;                          Franc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gion Ile de&#10;                          Fr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Pr>
                <w:rFonts w:ascii="Arial" w:hAnsi="Arial" w:cs="Arial"/>
                <w:color w:val="333333"/>
                <w:sz w:val="17"/>
                <w:szCs w:val="17"/>
              </w:rPr>
              <w:t> </w:t>
            </w:r>
            <w:r>
              <w:rPr>
                <w:rFonts w:ascii="Arial" w:hAnsi="Arial" w:cs="Arial"/>
                <w:noProof/>
                <w:color w:val="333333"/>
                <w:sz w:val="17"/>
                <w:szCs w:val="17"/>
                <w:bdr w:val="none" w:sz="0" w:space="0" w:color="auto" w:frame="1"/>
              </w:rPr>
              <w:drawing>
                <wp:inline distT="0" distB="0" distL="0" distR="0" wp14:anchorId="663EBBE3" wp14:editId="544F1A4F">
                  <wp:extent cx="733425" cy="428625"/>
                  <wp:effectExtent l="0" t="0" r="9525" b="9525"/>
                  <wp:docPr id="3" name="Image 3" descr="logo-cn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Pr>
                <w:rFonts w:ascii="Arial" w:hAnsi="Arial" w:cs="Arial"/>
                <w:color w:val="333333"/>
                <w:sz w:val="17"/>
                <w:szCs w:val="17"/>
              </w:rPr>
              <w:t xml:space="preserve"> </w:t>
            </w:r>
            <w:r>
              <w:rPr>
                <w:rFonts w:ascii="Arial" w:hAnsi="Arial" w:cs="Arial"/>
                <w:noProof/>
                <w:color w:val="333333"/>
                <w:sz w:val="17"/>
                <w:szCs w:val="17"/>
                <w:bdr w:val="none" w:sz="0" w:space="0" w:color="auto" w:frame="1"/>
              </w:rPr>
              <w:drawing>
                <wp:inline distT="0" distB="0" distL="0" distR="0" wp14:anchorId="0FBAD9E5" wp14:editId="70755E3A">
                  <wp:extent cx="419100" cy="428625"/>
                  <wp:effectExtent l="0" t="0" r="0" b="9525"/>
                  <wp:docPr id="2" name="Image 2" descr="logo-eurada">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ur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Pr>
                <w:rFonts w:ascii="Arial" w:hAnsi="Arial" w:cs="Arial"/>
                <w:color w:val="333333"/>
                <w:sz w:val="17"/>
                <w:szCs w:val="17"/>
              </w:rPr>
              <w:t> </w:t>
            </w:r>
            <w:r>
              <w:rPr>
                <w:rFonts w:ascii="Arial" w:hAnsi="Arial" w:cs="Arial"/>
                <w:noProof/>
                <w:color w:val="333333"/>
                <w:sz w:val="17"/>
                <w:szCs w:val="17"/>
                <w:bdr w:val="none" w:sz="0" w:space="0" w:color="auto" w:frame="1"/>
              </w:rPr>
              <w:drawing>
                <wp:inline distT="0" distB="0" distL="0" distR="0" wp14:anchorId="0E45E549" wp14:editId="1931593D">
                  <wp:extent cx="419100" cy="419100"/>
                  <wp:effectExtent l="0" t="0" r="0" b="0"/>
                  <wp:docPr id="1" name="Image 1" descr="madein95 ">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in95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333333"/>
                <w:sz w:val="17"/>
                <w:szCs w:val="17"/>
              </w:rPr>
              <w:t xml:space="preserve"> </w:t>
            </w:r>
          </w:p>
        </w:tc>
        <w:tc>
          <w:tcPr>
            <w:tcW w:w="375" w:type="dxa"/>
            <w:shd w:val="clear" w:color="auto" w:fill="FFFFFF"/>
            <w:vAlign w:val="center"/>
            <w:hideMark/>
          </w:tcPr>
          <w:p w14:paraId="02647394"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3FE2CCF2" w14:textId="77777777" w:rsidTr="00643E52">
        <w:trPr>
          <w:tblCellSpacing w:w="0" w:type="dxa"/>
          <w:jc w:val="center"/>
        </w:trPr>
        <w:tc>
          <w:tcPr>
            <w:tcW w:w="375" w:type="dxa"/>
            <w:shd w:val="clear" w:color="auto" w:fill="FFFFFF"/>
            <w:vAlign w:val="center"/>
            <w:hideMark/>
          </w:tcPr>
          <w:p w14:paraId="7AB0C6E9"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6ACBD2DA" w14:textId="3D695715" w:rsidR="00643E52" w:rsidRDefault="00643E52" w:rsidP="00643E52">
            <w:pPr>
              <w:rPr>
                <w:rFonts w:ascii="Arial" w:hAnsi="Arial" w:cs="Arial"/>
                <w:color w:val="333333"/>
                <w:sz w:val="17"/>
                <w:szCs w:val="17"/>
              </w:rPr>
            </w:pPr>
            <w:r>
              <w:rPr>
                <w:noProof/>
              </w:rPr>
              <w:drawing>
                <wp:anchor distT="0" distB="0" distL="47625" distR="47625" simplePos="0" relativeHeight="251658240" behindDoc="0" locked="0" layoutInCell="1" allowOverlap="0" wp14:anchorId="0854E4B2" wp14:editId="014133B5">
                  <wp:simplePos x="0" y="0"/>
                  <wp:positionH relativeFrom="column">
                    <wp:align>left</wp:align>
                  </wp:positionH>
                  <wp:positionV relativeFrom="line">
                    <wp:posOffset>0</wp:posOffset>
                  </wp:positionV>
                  <wp:extent cx="5238750" cy="209550"/>
                  <wp:effectExtent l="0" t="0" r="0" b="0"/>
                  <wp:wrapSquare wrapText="bothSides"/>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23875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17"/>
                <w:szCs w:val="17"/>
              </w:rPr>
              <w:t> </w:t>
            </w:r>
          </w:p>
        </w:tc>
        <w:tc>
          <w:tcPr>
            <w:tcW w:w="375" w:type="dxa"/>
            <w:shd w:val="clear" w:color="auto" w:fill="FFFFFF"/>
            <w:vAlign w:val="center"/>
            <w:hideMark/>
          </w:tcPr>
          <w:p w14:paraId="2864D8ED"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2736733A" w14:textId="77777777" w:rsidTr="00643E52">
        <w:trPr>
          <w:tblCellSpacing w:w="0" w:type="dxa"/>
          <w:jc w:val="center"/>
        </w:trPr>
        <w:tc>
          <w:tcPr>
            <w:tcW w:w="375" w:type="dxa"/>
            <w:shd w:val="clear" w:color="auto" w:fill="FFFFFF"/>
            <w:vAlign w:val="center"/>
            <w:hideMark/>
          </w:tcPr>
          <w:p w14:paraId="7ADD3960"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13EF136F" w14:textId="77777777" w:rsidR="00643E52" w:rsidRPr="00643E52" w:rsidRDefault="00643E52">
            <w:pPr>
              <w:jc w:val="right"/>
              <w:rPr>
                <w:rFonts w:ascii="Arial" w:hAnsi="Arial" w:cs="Arial"/>
                <w:color w:val="333333"/>
                <w:sz w:val="16"/>
                <w:szCs w:val="16"/>
              </w:rPr>
            </w:pPr>
            <w:r w:rsidRPr="00643E52">
              <w:rPr>
                <w:rFonts w:ascii="Arial" w:hAnsi="Arial" w:cs="Arial"/>
                <w:color w:val="595959"/>
                <w:sz w:val="16"/>
                <w:szCs w:val="16"/>
              </w:rPr>
              <w:t>Le CEEVO est l’Agence de développement et d'attractivité des territoires du Val d’Oise, soutenue par le Conseil Régional d’Ile-de-France, le Conseil Départemental du Val d’Oise et les Établissements Publics de Coopération Intercommunale (EPCI) du territoire. </w:t>
            </w:r>
            <w:r w:rsidRPr="00643E52">
              <w:rPr>
                <w:rFonts w:ascii="Arial" w:hAnsi="Arial" w:cs="Arial"/>
                <w:color w:val="595959"/>
                <w:sz w:val="16"/>
                <w:szCs w:val="16"/>
              </w:rPr>
              <w:br/>
              <w:t>Créé en 1973, le CEEVO soutient les initiatives, accompagne les projets sur les territoires et assure la promotion de l’attractivité économique du Val d’Oise en lien avec la stratégie portée par la Région d’Ile-de-France.</w:t>
            </w:r>
            <w:r w:rsidRPr="00643E52">
              <w:rPr>
                <w:rFonts w:ascii="Arial" w:hAnsi="Arial" w:cs="Arial"/>
                <w:color w:val="333333"/>
                <w:sz w:val="16"/>
                <w:szCs w:val="16"/>
              </w:rPr>
              <w:t> </w:t>
            </w:r>
          </w:p>
        </w:tc>
        <w:tc>
          <w:tcPr>
            <w:tcW w:w="375" w:type="dxa"/>
            <w:shd w:val="clear" w:color="auto" w:fill="FFFFFF"/>
            <w:vAlign w:val="center"/>
            <w:hideMark/>
          </w:tcPr>
          <w:p w14:paraId="55C95108" w14:textId="77777777" w:rsidR="00643E52" w:rsidRPr="00643E52" w:rsidRDefault="00643E52">
            <w:pPr>
              <w:rPr>
                <w:rFonts w:ascii="Arial" w:hAnsi="Arial" w:cs="Arial"/>
                <w:color w:val="595959"/>
                <w:sz w:val="16"/>
                <w:szCs w:val="16"/>
              </w:rPr>
            </w:pPr>
            <w:r w:rsidRPr="00643E52">
              <w:rPr>
                <w:rFonts w:ascii="Arial" w:hAnsi="Arial" w:cs="Arial"/>
                <w:color w:val="595959"/>
                <w:sz w:val="16"/>
                <w:szCs w:val="16"/>
              </w:rPr>
              <w:t> </w:t>
            </w:r>
          </w:p>
        </w:tc>
      </w:tr>
      <w:tr w:rsidR="00643E52" w14:paraId="4D861B58" w14:textId="77777777" w:rsidTr="00643E52">
        <w:trPr>
          <w:tblCellSpacing w:w="0" w:type="dxa"/>
          <w:jc w:val="center"/>
        </w:trPr>
        <w:tc>
          <w:tcPr>
            <w:tcW w:w="375" w:type="dxa"/>
            <w:shd w:val="clear" w:color="auto" w:fill="FFFFFF"/>
            <w:vAlign w:val="center"/>
            <w:hideMark/>
          </w:tcPr>
          <w:p w14:paraId="6EEF514F"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6E0F2A59" w14:textId="4D98935E" w:rsidR="00643E52" w:rsidRDefault="00643E52">
            <w:pPr>
              <w:rPr>
                <w:rFonts w:ascii="Arial" w:hAnsi="Arial" w:cs="Arial"/>
                <w:color w:val="595959"/>
                <w:sz w:val="17"/>
                <w:szCs w:val="17"/>
              </w:rPr>
            </w:pPr>
            <w:r>
              <w:rPr>
                <w:noProof/>
              </w:rPr>
              <w:drawing>
                <wp:anchor distT="0" distB="0" distL="47625" distR="47625" simplePos="0" relativeHeight="251658240" behindDoc="0" locked="0" layoutInCell="1" allowOverlap="0" wp14:anchorId="3BD6314B" wp14:editId="601981E2">
                  <wp:simplePos x="0" y="0"/>
                  <wp:positionH relativeFrom="column">
                    <wp:align>left</wp:align>
                  </wp:positionH>
                  <wp:positionV relativeFrom="line">
                    <wp:posOffset>0</wp:posOffset>
                  </wp:positionV>
                  <wp:extent cx="5238750" cy="209550"/>
                  <wp:effectExtent l="0" t="0" r="0" b="0"/>
                  <wp:wrapSquare wrapText="bothSides"/>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23875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375" w:type="dxa"/>
            <w:shd w:val="clear" w:color="auto" w:fill="FFFFFF"/>
            <w:vAlign w:val="center"/>
            <w:hideMark/>
          </w:tcPr>
          <w:p w14:paraId="56D892D7" w14:textId="77777777" w:rsidR="00643E52" w:rsidRDefault="00643E52">
            <w:pPr>
              <w:rPr>
                <w:rFonts w:ascii="Arial" w:hAnsi="Arial" w:cs="Arial"/>
                <w:color w:val="595959"/>
                <w:sz w:val="17"/>
                <w:szCs w:val="17"/>
              </w:rPr>
            </w:pPr>
            <w:r>
              <w:rPr>
                <w:rFonts w:ascii="Arial" w:hAnsi="Arial" w:cs="Arial"/>
                <w:color w:val="595959"/>
                <w:sz w:val="17"/>
                <w:szCs w:val="17"/>
              </w:rPr>
              <w:t> </w:t>
            </w:r>
          </w:p>
        </w:tc>
      </w:tr>
      <w:tr w:rsidR="00643E52" w14:paraId="5248C251" w14:textId="77777777" w:rsidTr="00643E52">
        <w:trPr>
          <w:tblCellSpacing w:w="0" w:type="dxa"/>
          <w:jc w:val="center"/>
        </w:trPr>
        <w:tc>
          <w:tcPr>
            <w:tcW w:w="375" w:type="dxa"/>
            <w:shd w:val="clear" w:color="auto" w:fill="FFFFFF"/>
            <w:vAlign w:val="center"/>
            <w:hideMark/>
          </w:tcPr>
          <w:p w14:paraId="2CD3E59F" w14:textId="77777777" w:rsidR="00643E52" w:rsidRDefault="00643E52">
            <w:pPr>
              <w:rPr>
                <w:rFonts w:ascii="Arial" w:hAnsi="Arial" w:cs="Arial"/>
                <w:color w:val="595959"/>
                <w:sz w:val="17"/>
                <w:szCs w:val="17"/>
              </w:rPr>
            </w:pPr>
            <w:r>
              <w:rPr>
                <w:rFonts w:ascii="Arial" w:hAnsi="Arial" w:cs="Arial"/>
                <w:color w:val="595959"/>
                <w:sz w:val="17"/>
                <w:szCs w:val="17"/>
              </w:rPr>
              <w:t> </w:t>
            </w:r>
          </w:p>
        </w:tc>
        <w:tc>
          <w:tcPr>
            <w:tcW w:w="8250" w:type="dxa"/>
            <w:shd w:val="clear" w:color="auto" w:fill="FFFFFF"/>
            <w:vAlign w:val="center"/>
            <w:hideMark/>
          </w:tcPr>
          <w:p w14:paraId="581CD8C1" w14:textId="77777777" w:rsidR="00643E52" w:rsidRDefault="00643E52">
            <w:pPr>
              <w:jc w:val="right"/>
              <w:rPr>
                <w:rFonts w:ascii="Arial" w:hAnsi="Arial" w:cs="Arial"/>
                <w:color w:val="333333"/>
                <w:sz w:val="17"/>
                <w:szCs w:val="17"/>
              </w:rPr>
            </w:pPr>
            <w:r>
              <w:rPr>
                <w:rFonts w:ascii="Arial" w:hAnsi="Arial" w:cs="Arial"/>
                <w:color w:val="595959"/>
                <w:sz w:val="17"/>
                <w:szCs w:val="17"/>
              </w:rPr>
              <w:t>CEEVO - Agence de développement et d'attractivité des territoires du Val d'Oise</w:t>
            </w:r>
            <w:r>
              <w:rPr>
                <w:rFonts w:ascii="Arial" w:hAnsi="Arial" w:cs="Arial"/>
                <w:color w:val="595959"/>
                <w:sz w:val="17"/>
                <w:szCs w:val="17"/>
              </w:rPr>
              <w:br/>
              <w:t>2 avenue du Parc - CS 20201 Cergy - 95032 CERGY-PONTOISE</w:t>
            </w:r>
            <w:r>
              <w:rPr>
                <w:rFonts w:ascii="Arial" w:hAnsi="Arial" w:cs="Arial"/>
                <w:color w:val="595959"/>
                <w:sz w:val="17"/>
                <w:szCs w:val="17"/>
              </w:rPr>
              <w:br/>
              <w:t>Tél. : 01 34 25 32 42 - Fax : 01 34 25 32 20 - </w:t>
            </w:r>
            <w:r>
              <w:rPr>
                <w:rFonts w:ascii="Arial" w:hAnsi="Arial" w:cs="Arial"/>
                <w:color w:val="333333"/>
                <w:sz w:val="17"/>
                <w:szCs w:val="17"/>
              </w:rPr>
              <w:t>Email : </w:t>
            </w:r>
            <w:hyperlink r:id="rId20" w:tgtFrame="_blank" w:history="1">
              <w:r>
                <w:rPr>
                  <w:rStyle w:val="Lienhypertexte"/>
                  <w:rFonts w:ascii="Arial" w:hAnsi="Arial" w:cs="Arial"/>
                  <w:color w:val="333333"/>
                  <w:sz w:val="17"/>
                  <w:szCs w:val="17"/>
                  <w:bdr w:val="none" w:sz="0" w:space="0" w:color="auto" w:frame="1"/>
                </w:rPr>
                <w:t>ceevo@ceevo95.fr</w:t>
              </w:r>
            </w:hyperlink>
            <w:r>
              <w:rPr>
                <w:rFonts w:ascii="Arial" w:hAnsi="Arial" w:cs="Arial"/>
                <w:color w:val="333333"/>
                <w:sz w:val="17"/>
                <w:szCs w:val="17"/>
              </w:rPr>
              <w:t xml:space="preserve"> </w:t>
            </w:r>
          </w:p>
        </w:tc>
        <w:tc>
          <w:tcPr>
            <w:tcW w:w="375" w:type="dxa"/>
            <w:shd w:val="clear" w:color="auto" w:fill="FFFFFF"/>
            <w:vAlign w:val="center"/>
            <w:hideMark/>
          </w:tcPr>
          <w:p w14:paraId="65B455B4" w14:textId="77777777" w:rsidR="00643E52" w:rsidRDefault="00643E52">
            <w:pPr>
              <w:rPr>
                <w:rFonts w:ascii="Arial" w:hAnsi="Arial" w:cs="Arial"/>
                <w:color w:val="595959"/>
                <w:sz w:val="17"/>
                <w:szCs w:val="17"/>
              </w:rPr>
            </w:pPr>
            <w:r>
              <w:rPr>
                <w:rFonts w:ascii="Arial" w:hAnsi="Arial" w:cs="Arial"/>
                <w:color w:val="595959"/>
                <w:sz w:val="17"/>
                <w:szCs w:val="17"/>
              </w:rPr>
              <w:t> </w:t>
            </w:r>
          </w:p>
        </w:tc>
      </w:tr>
    </w:tbl>
    <w:p w14:paraId="0415CF26" w14:textId="77777777" w:rsidR="0091226E" w:rsidRDefault="0091226E"/>
    <w:sectPr w:rsidR="0091226E" w:rsidSect="00643E5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56CD6"/>
    <w:multiLevelType w:val="multilevel"/>
    <w:tmpl w:val="4A145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52"/>
    <w:rsid w:val="00643E52"/>
    <w:rsid w:val="00912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34F71E"/>
  <w15:chartTrackingRefBased/>
  <w15:docId w15:val="{CBBA24A9-3493-45FD-88AF-04F69D7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52"/>
    <w:pPr>
      <w:spacing w:after="0" w:line="240" w:lineRule="auto"/>
    </w:pPr>
    <w:rPr>
      <w:rFonts w:ascii="Calibri" w:hAnsi="Calibri" w:cs="Calibri"/>
      <w:lang w:eastAsia="fr-FR"/>
    </w:rPr>
  </w:style>
  <w:style w:type="paragraph" w:styleId="Titre3">
    <w:name w:val="heading 3"/>
    <w:basedOn w:val="Normal"/>
    <w:link w:val="Titre3Car"/>
    <w:uiPriority w:val="9"/>
    <w:semiHidden/>
    <w:unhideWhenUsed/>
    <w:qFormat/>
    <w:rsid w:val="00643E52"/>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43E52"/>
    <w:rPr>
      <w:rFonts w:ascii="Calibri" w:hAnsi="Calibri" w:cs="Calibri"/>
      <w:b/>
      <w:bCs/>
      <w:sz w:val="27"/>
      <w:szCs w:val="27"/>
      <w:lang w:eastAsia="fr-FR"/>
    </w:rPr>
  </w:style>
  <w:style w:type="character" w:styleId="Lienhypertexte">
    <w:name w:val="Hyperlink"/>
    <w:basedOn w:val="Policepardfaut"/>
    <w:uiPriority w:val="99"/>
    <w:semiHidden/>
    <w:unhideWhenUsed/>
    <w:rsid w:val="00643E52"/>
    <w:rPr>
      <w:color w:val="0000FF"/>
      <w:u w:val="single"/>
    </w:rPr>
  </w:style>
  <w:style w:type="paragraph" w:styleId="NormalWeb">
    <w:name w:val="Normal (Web)"/>
    <w:basedOn w:val="Normal"/>
    <w:uiPriority w:val="99"/>
    <w:unhideWhenUsed/>
    <w:rsid w:val="00643E52"/>
    <w:pPr>
      <w:spacing w:before="100" w:beforeAutospacing="1" w:after="100" w:afterAutospacing="1"/>
    </w:pPr>
  </w:style>
  <w:style w:type="character" w:styleId="lev">
    <w:name w:val="Strong"/>
    <w:basedOn w:val="Policepardfaut"/>
    <w:uiPriority w:val="22"/>
    <w:qFormat/>
    <w:rsid w:val="00643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vo@ceevo95.fr" TargetMode="External"/><Relationship Id="rId13" Type="http://schemas.openxmlformats.org/officeDocument/2006/relationships/hyperlink" Target="https://www.ceevo95.fr/index.php?subid=2345&amp;option=com_acymailing&amp;ctrl=url&amp;urlid=68&amp;mailid=489"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evo95.fr/index.php?subid=2345&amp;option=com_acymailing&amp;ctrl=url&amp;urlid=5388&amp;mailid=489" TargetMode="External"/><Relationship Id="rId12" Type="http://schemas.openxmlformats.org/officeDocument/2006/relationships/image" Target="media/image3.jpeg"/><Relationship Id="rId17" Type="http://schemas.openxmlformats.org/officeDocument/2006/relationships/hyperlink" Target="https://www.ceevo95.fr/index.php?subid=2345&amp;option=com_acymailing&amp;ctrl=url&amp;urlid=4113&amp;mailid=48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ceevo@ceevo95.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eevo95.fr/index.php?subid=2345&amp;option=com_acymailing&amp;ctrl=url&amp;urlid=2934&amp;mailid=489" TargetMode="External"/><Relationship Id="rId5" Type="http://schemas.openxmlformats.org/officeDocument/2006/relationships/image" Target="https://www.ceevo95.fr/images/stories/ceevo-tetiere-logos-oct18.jpg" TargetMode="External"/><Relationship Id="rId15" Type="http://schemas.openxmlformats.org/officeDocument/2006/relationships/hyperlink" Target="https://www.ceevo95.fr/index.php?subid=2345&amp;option=com_acymailing&amp;ctrl=url&amp;urlid=71&amp;mailid=489" TargetMode="External"/><Relationship Id="rId10" Type="http://schemas.openxmlformats.org/officeDocument/2006/relationships/image" Target="media/image2.jpeg"/><Relationship Id="rId19" Type="http://schemas.openxmlformats.org/officeDocument/2006/relationships/image" Target="https://www.ceevo95.fr/media/com_acymailing/templates/winterblue/images/separator.jpg" TargetMode="External"/><Relationship Id="rId4" Type="http://schemas.openxmlformats.org/officeDocument/2006/relationships/webSettings" Target="webSettings.xml"/><Relationship Id="rId9" Type="http://schemas.openxmlformats.org/officeDocument/2006/relationships/hyperlink" Target="https://www.ceevo95.fr/index.php?subid=2345&amp;option=com_acymailing&amp;ctrl=url&amp;urlid=48&amp;mailid=489"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cp:revision>
  <dcterms:created xsi:type="dcterms:W3CDTF">2020-06-25T07:39:00Z</dcterms:created>
  <dcterms:modified xsi:type="dcterms:W3CDTF">2020-06-25T07:43:00Z</dcterms:modified>
</cp:coreProperties>
</file>